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38" w:rsidRDefault="00275090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-1262380</wp:posOffset>
            </wp:positionH>
            <wp:positionV relativeFrom="paragraph">
              <wp:posOffset>40640</wp:posOffset>
            </wp:positionV>
            <wp:extent cx="1333500" cy="637540"/>
            <wp:effectExtent l="0" t="342900" r="0" b="33401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33500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C8D">
        <w:rPr>
          <w:shadow/>
          <w:noProof/>
          <w:color w:val="7030A0"/>
          <w:lang w:eastAsia="fr-FR"/>
        </w:rPr>
        <w:pict>
          <v:rect id="_x0000_s1055" style="position:absolute;left:0;text-align:left;margin-left:-20pt;margin-top:-19.35pt;width:555.15pt;height:37.5pt;z-index:-251654144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55">
              <w:txbxContent>
                <w:p w:rsidR="00B80438" w:rsidRPr="00B80438" w:rsidRDefault="0043012A" w:rsidP="00B80438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Center_06  </w:t>
                  </w:r>
                  <w:r w:rsidRPr="0043012A">
                    <w:rPr>
                      <w:b/>
                      <w:smallCaps/>
                      <w:shadow/>
                      <w:noProof/>
                      <w:color w:val="7030A0"/>
                      <w:sz w:val="48"/>
                      <w:szCs w:val="48"/>
                      <w:lang w:eastAsia="fr-FR"/>
                    </w:rPr>
                    <w:t>/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174B5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Palatul SNCFR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 w:rsidR="00D63C11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 w:rsidR="00D63C11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 w:rsidR="00174B5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085</w:t>
                  </w:r>
                  <w:r w:rsidR="00B80438"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</w:p>
                <w:p w:rsidR="00B80438" w:rsidRPr="00B80438" w:rsidRDefault="00B80438" w:rsidP="00B80438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</w:p>
    <w:p w:rsidR="00B80438" w:rsidRDefault="00B80438" w:rsidP="0058598B">
      <w:pPr>
        <w:ind w:left="-284"/>
        <w:rPr>
          <w:shadow/>
          <w:noProof/>
          <w:color w:val="7030A0"/>
          <w:lang w:eastAsia="fr-FR"/>
        </w:rPr>
      </w:pPr>
    </w:p>
    <w:p w:rsidR="00B80438" w:rsidRDefault="00103B5F" w:rsidP="00B80438">
      <w:pPr>
        <w:rPr>
          <w:shadow/>
          <w:noProof/>
          <w:color w:val="7030A0"/>
          <w:lang w:eastAsia="fr-FR"/>
        </w:rPr>
      </w:pPr>
      <w:r w:rsidRPr="00174B58">
        <w:rPr>
          <w:shadow/>
          <w:noProof/>
          <w:color w:val="7030A0"/>
          <w:lang w:eastAsia="fr-FR"/>
        </w:rPr>
        <w:t>B-dul Dinicu Golescu nr. 38</w:t>
      </w:r>
    </w:p>
    <w:p w:rsidR="0043012A" w:rsidRPr="00103B5F" w:rsidRDefault="0043012A" w:rsidP="00B80438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t>Ministerul Transporturilor</w:t>
      </w:r>
    </w:p>
    <w:p w:rsidR="00AB4756" w:rsidRPr="00103B5F" w:rsidRDefault="00AB4756" w:rsidP="0058598B">
      <w:pPr>
        <w:ind w:left="-284"/>
        <w:rPr>
          <w:shadow/>
          <w:noProof/>
          <w:color w:val="7030A0"/>
          <w:sz w:val="36"/>
          <w:lang w:eastAsia="fr-FR"/>
        </w:rPr>
      </w:pPr>
    </w:p>
    <w:p w:rsidR="002C6033" w:rsidRDefault="0043012A" w:rsidP="00B80438">
      <w:pPr>
        <w:ind w:left="284"/>
        <w:rPr>
          <w:color w:val="7F7F7F" w:themeColor="text1" w:themeTint="80"/>
          <w:sz w:val="20"/>
        </w:rPr>
      </w:pPr>
      <w:r>
        <w:rPr>
          <w:color w:val="7F7F7F" w:themeColor="text1" w:themeTint="80"/>
          <w:sz w:val="20"/>
        </w:rPr>
        <w:t xml:space="preserve">Nici nu mai trebuie sa precizez ca acest site a fost printre primele lansate, adica mai precis pe </w:t>
      </w:r>
      <w:r w:rsidRPr="0043012A">
        <w:rPr>
          <w:smallCaps/>
          <w:shadow/>
          <w:color w:val="7030A0"/>
          <w:sz w:val="20"/>
        </w:rPr>
        <w:t>5 august 1997</w:t>
      </w:r>
      <w:r>
        <w:rPr>
          <w:color w:val="7F7F7F" w:themeColor="text1" w:themeTint="80"/>
          <w:sz w:val="20"/>
        </w:rPr>
        <w:t xml:space="preserve"> (eh, 2 luni dupa lansarea retelei totusi)</w:t>
      </w:r>
      <w:r w:rsidR="00027C3F">
        <w:rPr>
          <w:color w:val="7F7F7F" w:themeColor="text1" w:themeTint="80"/>
          <w:sz w:val="20"/>
        </w:rPr>
        <w:t>. Mai demult era echipat cu un G3 Medi outdoor cu 6/6 TRX si înca unul cu 4 TRX pe partea GSM, si 2/2/2 pentru DCS. Insa de prin 2006 au venit si au mai bagat un MBO1 cu 6 TRX pe GSM pentru a echilibra capacitatile pe cele 3 sectoare GSM (au pastrat G3-ulcu 6/6 TRX pe primele 2 sectoare), iar în celalat G3 Medi au urcat pâna la 3/4/4 TRX pentru DCS.</w:t>
      </w:r>
    </w:p>
    <w:p w:rsidR="00027C3F" w:rsidRDefault="00027C3F" w:rsidP="00B80438">
      <w:pPr>
        <w:ind w:left="284"/>
        <w:rPr>
          <w:color w:val="7F7F7F" w:themeColor="text1" w:themeTint="80"/>
          <w:sz w:val="20"/>
        </w:rPr>
      </w:pPr>
    </w:p>
    <w:p w:rsidR="00174B58" w:rsidRDefault="00027C3F" w:rsidP="00027C3F">
      <w:pPr>
        <w:ind w:left="284"/>
        <w:rPr>
          <w:color w:val="7F7F7F" w:themeColor="text1" w:themeTint="80"/>
          <w:sz w:val="20"/>
        </w:rPr>
      </w:pPr>
      <w:r w:rsidRPr="00027C3F">
        <w:rPr>
          <w:color w:val="7F7F7F" w:themeColor="text1" w:themeTint="80"/>
          <w:sz w:val="20"/>
        </w:rPr>
        <w:t>Este legat (dar nu cred ca direct, chiar daca ar fi doar 4Km jumate’ pâna acolo</w:t>
      </w:r>
      <w:r w:rsidR="00690B90">
        <w:rPr>
          <w:color w:val="7F7F7F" w:themeColor="text1" w:themeTint="80"/>
          <w:sz w:val="20"/>
        </w:rPr>
        <w:t xml:space="preserve"> – desi ar putea sa aiba ceva micut care merge în directia aceea</w:t>
      </w:r>
      <w:r w:rsidRPr="00027C3F">
        <w:rPr>
          <w:color w:val="7F7F7F" w:themeColor="text1" w:themeTint="80"/>
          <w:sz w:val="20"/>
        </w:rPr>
        <w:t xml:space="preserve">) de BI0446_PAS3 MSC </w:t>
      </w:r>
      <w:r w:rsidRPr="00027C3F">
        <w:rPr>
          <w:smallCaps/>
          <w:color w:val="7F7F7F" w:themeColor="text1" w:themeTint="80"/>
          <w:sz w:val="20"/>
        </w:rPr>
        <w:t>Pasteur</w:t>
      </w:r>
      <w:r w:rsidRPr="00027C3F">
        <w:rPr>
          <w:color w:val="7F7F7F" w:themeColor="text1" w:themeTint="80"/>
          <w:sz w:val="20"/>
        </w:rPr>
        <w:t xml:space="preserve">, si mai are ceva si catre BI_0955_T0 BRD </w:t>
      </w:r>
      <w:r w:rsidRPr="00027C3F">
        <w:rPr>
          <w:smallCaps/>
          <w:color w:val="7F7F7F" w:themeColor="text1" w:themeTint="80"/>
          <w:sz w:val="20"/>
        </w:rPr>
        <w:t>Victoriei</w:t>
      </w:r>
      <w:r w:rsidRPr="00027C3F">
        <w:rPr>
          <w:color w:val="7F7F7F" w:themeColor="text1" w:themeTint="80"/>
          <w:sz w:val="20"/>
        </w:rPr>
        <w:t>.</w:t>
      </w:r>
      <w:r>
        <w:rPr>
          <w:color w:val="7F7F7F" w:themeColor="text1" w:themeTint="80"/>
          <w:sz w:val="20"/>
        </w:rPr>
        <w:t xml:space="preserve"> In vara 2006, ca si acum, era în LAC 150 ; deja de pe atunci parea sa fie în configuratia actula, adica cu câte 3 antene pe sector : un Jaybeam Singleband, unul Dualband, si mai rar</w:t>
      </w:r>
      <w:r w:rsidR="00275090">
        <w:rPr>
          <w:color w:val="7F7F7F" w:themeColor="text1" w:themeTint="80"/>
          <w:sz w:val="20"/>
        </w:rPr>
        <w:t>ul</w:t>
      </w:r>
      <w:r>
        <w:rPr>
          <w:color w:val="7F7F7F" w:themeColor="text1" w:themeTint="80"/>
          <w:sz w:val="20"/>
        </w:rPr>
        <w:t xml:space="preserve"> Jaybeam 5157300 (aici 3G, dar stie si DCS) ; vorbind de aceasta ultima antena, se vede cum la minim un sector sunt niste feederi deconectati care atârna în spatele ei… s-ar putea sa fie ramasite de pe vremea Alcatel (când o conectau pe la baza), cum este si la site-ul de pe Rectoratul Politehnicii.</w:t>
      </w:r>
    </w:p>
    <w:p w:rsidR="0053678C" w:rsidRDefault="0053678C" w:rsidP="00027C3F">
      <w:pPr>
        <w:ind w:left="284"/>
        <w:rPr>
          <w:color w:val="7F7F7F" w:themeColor="text1" w:themeTint="80"/>
          <w:sz w:val="20"/>
        </w:rPr>
      </w:pPr>
    </w:p>
    <w:p w:rsidR="0053678C" w:rsidRPr="00174B58" w:rsidRDefault="0053678C" w:rsidP="00027C3F">
      <w:pPr>
        <w:ind w:left="284"/>
        <w:rPr>
          <w:shadow/>
          <w:noProof/>
          <w:color w:val="7030A0"/>
          <w:lang w:eastAsia="fr-FR"/>
        </w:rPr>
      </w:pPr>
      <w:r>
        <w:rPr>
          <w:color w:val="7F7F7F" w:themeColor="text1" w:themeTint="80"/>
          <w:sz w:val="20"/>
        </w:rPr>
        <w:t xml:space="preserve">Acolo sus se vad întradevar doua G3-ul Medi, cabinetul </w:t>
      </w:r>
      <w:r w:rsidR="00275090">
        <w:rPr>
          <w:color w:val="7F7F7F" w:themeColor="text1" w:themeTint="80"/>
          <w:sz w:val="20"/>
        </w:rPr>
        <w:t>cu BBU-ul</w:t>
      </w:r>
      <w:r>
        <w:rPr>
          <w:color w:val="7F7F7F" w:themeColor="text1" w:themeTint="80"/>
          <w:sz w:val="20"/>
        </w:rPr>
        <w:t>Huawei (RRU-uri lânga antene), dar nu reusesc sa vad si mai noul MBO1.</w:t>
      </w:r>
    </w:p>
    <w:p w:rsidR="00174B58" w:rsidRPr="00174B58" w:rsidRDefault="00174B58" w:rsidP="00174B58">
      <w:pPr>
        <w:rPr>
          <w:shadow/>
          <w:noProof/>
          <w:color w:val="7030A0"/>
          <w:lang w:eastAsia="fr-FR"/>
        </w:rPr>
      </w:pPr>
    </w:p>
    <w:p w:rsidR="00D63C11" w:rsidRDefault="00D63C11" w:rsidP="00AB4756">
      <w:pPr>
        <w:rPr>
          <w:shadow/>
          <w:noProof/>
          <w:color w:val="7030A0"/>
          <w:lang w:eastAsia="fr-FR"/>
        </w:rPr>
      </w:pPr>
    </w:p>
    <w:p w:rsidR="00D63C11" w:rsidRDefault="00D63C11" w:rsidP="00AB4756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84455</wp:posOffset>
            </wp:positionV>
            <wp:extent cx="381000" cy="381000"/>
            <wp:effectExtent l="19050" t="0" r="0" b="0"/>
            <wp:wrapNone/>
            <wp:docPr id="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0C8D">
        <w:rPr>
          <w:shadow/>
          <w:noProof/>
          <w:color w:val="7030A0"/>
          <w:lang w:eastAsia="fr-FR"/>
        </w:rPr>
        <w:pict>
          <v:rect id="_x0000_s1059" style="position:absolute;left:0;text-align:left;margin-left:-20pt;margin-top:2.9pt;width:555.15pt;height:37.5pt;z-index:-251651072;mso-position-horizontal-relative:text;mso-position-vertical-relative:text" fillcolor="#f06" stroked="f" strokecolor="#f06">
            <v:fill r:id="rId8" o:title="noir)" opacity="23593f" o:opacity2="23593f" type="pattern"/>
            <v:textbox style="mso-next-textbox:#_x0000_s1059">
              <w:txbxContent>
                <w:p w:rsidR="00D63C11" w:rsidRPr="00B80438" w:rsidRDefault="00D63C11" w:rsidP="00D63C11">
                  <w:pPr>
                    <w:rPr>
                      <w:sz w:val="48"/>
                      <w:szCs w:val="48"/>
                    </w:rPr>
                  </w:pP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Ministerul Transporturilor </w:t>
                  </w:r>
                  <w:r w:rsidRPr="00D63C11">
                    <w:rPr>
                      <w:b/>
                      <w:smallCaps/>
                      <w:shadow/>
                      <w:noProof/>
                      <w:color w:val="002060"/>
                      <w:sz w:val="48"/>
                      <w:szCs w:val="48"/>
                      <w:lang w:eastAsia="fr-FR"/>
                    </w:rPr>
                    <w:t>MICRO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 </w:t>
                  </w:r>
                  <w:r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| 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 BI_0</w:t>
                  </w:r>
                  <w:r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>922</w:t>
                  </w:r>
                  <w:r w:rsidRPr="00B80438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eastAsia="fr-FR"/>
                    </w:rPr>
                    <w:t xml:space="preserve">_T0 </w:t>
                  </w:r>
                </w:p>
                <w:p w:rsidR="00D63C11" w:rsidRPr="00B80438" w:rsidRDefault="00D63C11" w:rsidP="00D63C11">
                  <w:pPr>
                    <w:rPr>
                      <w:szCs w:val="48"/>
                    </w:rPr>
                  </w:pPr>
                </w:p>
              </w:txbxContent>
            </v:textbox>
          </v:rect>
        </w:pict>
      </w:r>
    </w:p>
    <w:p w:rsidR="00D63C11" w:rsidRDefault="00D63C11" w:rsidP="00AB4756">
      <w:pPr>
        <w:rPr>
          <w:shadow/>
          <w:noProof/>
          <w:color w:val="7030A0"/>
          <w:lang w:eastAsia="fr-FR"/>
        </w:rPr>
      </w:pPr>
    </w:p>
    <w:p w:rsidR="00D63C11" w:rsidRDefault="00D63C11" w:rsidP="00AB4756">
      <w:pPr>
        <w:rPr>
          <w:shadow/>
          <w:noProof/>
          <w:color w:val="7030A0"/>
          <w:lang w:eastAsia="fr-FR"/>
        </w:rPr>
      </w:pPr>
    </w:p>
    <w:p w:rsidR="00D63C11" w:rsidRDefault="00D63C11" w:rsidP="00D63C11">
      <w:pPr>
        <w:rPr>
          <w:shadow/>
          <w:noProof/>
          <w:color w:val="7030A0"/>
          <w:lang w:eastAsia="fr-FR"/>
        </w:rPr>
      </w:pPr>
    </w:p>
    <w:p w:rsidR="00D63C11" w:rsidRDefault="00D63C11" w:rsidP="00D63C11">
      <w:pPr>
        <w:rPr>
          <w:shadow/>
          <w:noProof/>
          <w:color w:val="7030A0"/>
          <w:lang w:eastAsia="fr-FR"/>
        </w:rPr>
      </w:pPr>
      <w:r w:rsidRPr="00174B58">
        <w:rPr>
          <w:shadow/>
          <w:noProof/>
          <w:color w:val="7030A0"/>
          <w:lang w:eastAsia="fr-FR"/>
        </w:rPr>
        <w:t>B-dul Dinicu Golescu nr. 38</w:t>
      </w:r>
    </w:p>
    <w:p w:rsidR="00D63C11" w:rsidRPr="00103B5F" w:rsidRDefault="00D63C11" w:rsidP="00D63C11">
      <w:pPr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t>Ministerul Transporturilor</w:t>
      </w:r>
    </w:p>
    <w:p w:rsidR="00D63C11" w:rsidRDefault="00D63C11" w:rsidP="00AB4756">
      <w:pPr>
        <w:rPr>
          <w:shadow/>
          <w:noProof/>
          <w:color w:val="7030A0"/>
          <w:lang w:eastAsia="fr-FR"/>
        </w:rPr>
      </w:pPr>
    </w:p>
    <w:p w:rsidR="00D63C11" w:rsidRDefault="00D63C11" w:rsidP="00D63C11">
      <w:pPr>
        <w:ind w:left="284"/>
        <w:rPr>
          <w:shadow/>
          <w:noProof/>
          <w:color w:val="7030A0"/>
          <w:lang w:eastAsia="fr-FR"/>
        </w:rPr>
      </w:pPr>
      <w:r>
        <w:rPr>
          <w:color w:val="7F7F7F" w:themeColor="text1" w:themeTint="80"/>
          <w:sz w:val="20"/>
        </w:rPr>
        <w:t xml:space="preserve">Baietii de la Orange au desigur si ei un site dedicat acoperirii Palatului SNCFR, site care pare însa sa fi aparut destul de târziu, adica abia undeva prin </w:t>
      </w:r>
      <w:r w:rsidRPr="00683070">
        <w:rPr>
          <w:smallCaps/>
          <w:shadow/>
          <w:color w:val="7030A0"/>
          <w:sz w:val="20"/>
        </w:rPr>
        <w:t>2006</w:t>
      </w:r>
      <w:r>
        <w:rPr>
          <w:color w:val="7F7F7F" w:themeColor="text1" w:themeTint="80"/>
          <w:sz w:val="20"/>
        </w:rPr>
        <w:t>, oricum aparent dupa scindarea zonei BU în BI/BE (pentru ca BU_922 e un mai vechi micro din Pitesti…). Site-ul este echipat cu un ditamai G3 mini outdoor cu 4 TRX</w:t>
      </w:r>
      <w:r w:rsidR="009A56C6">
        <w:rPr>
          <w:color w:val="7F7F7F" w:themeColor="text1" w:themeTint="80"/>
          <w:sz w:val="20"/>
        </w:rPr>
        <w:t>. Ca sa mai zic altceva, doar nu sperai ca am reusit vreodata sa-l fotografiez sau sa macar sa-l monitorizez… </w:t>
      </w:r>
      <w:r w:rsidR="009A56C6" w:rsidRPr="009A56C6">
        <w:rPr>
          <w:color w:val="7F7F7F" w:themeColor="text1" w:themeTint="80"/>
          <w:sz w:val="20"/>
        </w:rPr>
        <w:sym w:font="Wingdings" w:char="F04A"/>
      </w:r>
    </w:p>
    <w:p w:rsidR="00AB4756" w:rsidRPr="00275090" w:rsidRDefault="00AB4756" w:rsidP="00AB4756">
      <w:pPr>
        <w:rPr>
          <w:shadow/>
          <w:noProof/>
          <w:color w:val="7030A0"/>
          <w:lang w:eastAsia="fr-FR"/>
        </w:rPr>
      </w:pPr>
    </w:p>
    <w:p w:rsidR="00174B58" w:rsidRPr="00275090" w:rsidRDefault="00174B58" w:rsidP="00AB4756">
      <w:pPr>
        <w:rPr>
          <w:shadow/>
          <w:noProof/>
          <w:color w:val="7030A0"/>
          <w:lang w:eastAsia="fr-FR"/>
        </w:rPr>
      </w:pPr>
    </w:p>
    <w:p w:rsidR="00174B58" w:rsidRPr="00275090" w:rsidRDefault="00174B58" w:rsidP="00AB4756">
      <w:pPr>
        <w:rPr>
          <w:shadow/>
          <w:noProof/>
          <w:color w:val="7030A0"/>
          <w:lang w:eastAsia="fr-FR"/>
        </w:rPr>
      </w:pPr>
    </w:p>
    <w:p w:rsidR="00174B58" w:rsidRPr="00275090" w:rsidRDefault="00174B58" w:rsidP="00AB4756">
      <w:pPr>
        <w:rPr>
          <w:shadow/>
          <w:noProof/>
          <w:color w:val="7030A0"/>
          <w:lang w:eastAsia="fr-FR"/>
        </w:rPr>
      </w:pPr>
    </w:p>
    <w:p w:rsidR="00B80438" w:rsidRPr="00275090" w:rsidRDefault="00B80438" w:rsidP="0058598B">
      <w:pPr>
        <w:ind w:left="-284"/>
        <w:rPr>
          <w:shadow/>
          <w:noProof/>
          <w:color w:val="7030A0"/>
          <w:lang w:eastAsia="fr-FR"/>
        </w:rPr>
      </w:pPr>
    </w:p>
    <w:p w:rsidR="001533FF" w:rsidRPr="00275090" w:rsidRDefault="001533FF" w:rsidP="0058598B">
      <w:pPr>
        <w:ind w:left="-284"/>
        <w:rPr>
          <w:shadow/>
          <w:noProof/>
          <w:color w:val="7030A0"/>
          <w:lang w:eastAsia="fr-FR"/>
        </w:rPr>
      </w:pPr>
    </w:p>
    <w:p w:rsidR="001533FF" w:rsidRPr="00275090" w:rsidRDefault="001533FF" w:rsidP="0058598B">
      <w:pPr>
        <w:ind w:left="-284"/>
        <w:rPr>
          <w:shadow/>
          <w:noProof/>
          <w:color w:val="7030A0"/>
          <w:lang w:eastAsia="fr-FR"/>
        </w:rPr>
      </w:pPr>
    </w:p>
    <w:p w:rsidR="001533FF" w:rsidRPr="00275090" w:rsidRDefault="001533FF" w:rsidP="0058598B">
      <w:pPr>
        <w:ind w:left="-284"/>
        <w:rPr>
          <w:shadow/>
          <w:noProof/>
          <w:color w:val="7030A0"/>
          <w:lang w:eastAsia="fr-FR"/>
        </w:rPr>
      </w:pPr>
    </w:p>
    <w:p w:rsidR="00B80438" w:rsidRPr="00275090" w:rsidRDefault="00060C8D" w:rsidP="00B80438">
      <w:pPr>
        <w:tabs>
          <w:tab w:val="left" w:pos="2145"/>
        </w:tabs>
        <w:rPr>
          <w:sz w:val="12"/>
          <w:lang w:eastAsia="fr-FR"/>
        </w:rPr>
      </w:pPr>
      <w:r w:rsidRPr="00060C8D">
        <w:rPr>
          <w:noProof/>
          <w:color w:val="7030A0"/>
          <w:u w:val="single"/>
          <w:lang w:eastAsia="fr-FR"/>
        </w:rPr>
        <w:pict>
          <v:rect id="_x0000_s1054" style="position:absolute;left:0;text-align:left;margin-left:-26.75pt;margin-top:6.4pt;width:555.15pt;height:37.5pt;z-index:-251655168" fillcolor="#f06" stroked="f" strokecolor="#f06">
            <v:fill r:id="rId8" o:title="noir)" opacity="23593f" o:opacity2="23593f" type="pattern"/>
            <v:textbox style="mso-next-textbox:#_x0000_s1054">
              <w:txbxContent>
                <w:p w:rsidR="00B80438" w:rsidRPr="00174B58" w:rsidRDefault="00174B58" w:rsidP="00B80438">
                  <w:pPr>
                    <w:rPr>
                      <w:sz w:val="48"/>
                      <w:szCs w:val="48"/>
                    </w:rPr>
                  </w:pPr>
                  <w:r w:rsidRPr="00174B58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eastAsia="fr-FR"/>
                    </w:rPr>
                    <w:t>CFR</w:t>
                  </w:r>
                </w:p>
              </w:txbxContent>
            </v:textbox>
          </v:rect>
        </w:pict>
      </w:r>
    </w:p>
    <w:p w:rsidR="00B80438" w:rsidRPr="00275090" w:rsidRDefault="00B80438" w:rsidP="00B80438">
      <w:pPr>
        <w:tabs>
          <w:tab w:val="left" w:pos="2145"/>
        </w:tabs>
        <w:rPr>
          <w:lang w:eastAsia="fr-FR"/>
        </w:rPr>
      </w:pPr>
    </w:p>
    <w:p w:rsidR="00B80438" w:rsidRPr="00275090" w:rsidRDefault="00683070" w:rsidP="00B80438">
      <w:pPr>
        <w:tabs>
          <w:tab w:val="left" w:pos="2145"/>
        </w:tabs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-1367154</wp:posOffset>
            </wp:positionH>
            <wp:positionV relativeFrom="paragraph">
              <wp:posOffset>33021</wp:posOffset>
            </wp:positionV>
            <wp:extent cx="1466850" cy="695325"/>
            <wp:effectExtent l="0" t="381000" r="0" b="3714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668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438" w:rsidRPr="00275090" w:rsidRDefault="00B80438" w:rsidP="00B80438">
      <w:pPr>
        <w:tabs>
          <w:tab w:val="left" w:pos="2145"/>
        </w:tabs>
        <w:rPr>
          <w:lang w:eastAsia="fr-FR"/>
        </w:rPr>
      </w:pPr>
    </w:p>
    <w:p w:rsidR="00B80438" w:rsidRPr="00AB4756" w:rsidRDefault="00B80438" w:rsidP="00AB4756">
      <w:pPr>
        <w:rPr>
          <w:color w:val="7030A0"/>
          <w:lang w:val="ro-RO"/>
        </w:rPr>
      </w:pPr>
    </w:p>
    <w:p w:rsidR="00690B90" w:rsidRDefault="003535E1" w:rsidP="000B1636">
      <w:pPr>
        <w:pStyle w:val="Default"/>
        <w:ind w:left="284"/>
        <w:jc w:val="both"/>
        <w:rPr>
          <w:color w:val="7F7F7F" w:themeColor="text1" w:themeTint="80"/>
          <w:sz w:val="20"/>
        </w:rPr>
      </w:pPr>
      <w:r w:rsidRPr="00EC365D">
        <w:rPr>
          <w:color w:val="7F7F7F" w:themeColor="text1" w:themeTint="80"/>
          <w:sz w:val="20"/>
        </w:rPr>
        <w:t xml:space="preserve">Asa îi zice la situ’ asta, </w:t>
      </w:r>
      <w:r w:rsidRPr="00EC365D">
        <w:rPr>
          <w:i/>
          <w:color w:val="7F7F7F" w:themeColor="text1" w:themeTint="80"/>
          <w:sz w:val="20"/>
        </w:rPr>
        <w:t>CFR</w:t>
      </w:r>
      <w:r w:rsidRPr="00EC365D">
        <w:rPr>
          <w:color w:val="7F7F7F" w:themeColor="text1" w:themeTint="80"/>
          <w:sz w:val="20"/>
        </w:rPr>
        <w:t>.</w:t>
      </w:r>
      <w:r w:rsidR="00EC365D" w:rsidRPr="00EC365D">
        <w:rPr>
          <w:color w:val="7F7F7F" w:themeColor="text1" w:themeTint="80"/>
          <w:sz w:val="20"/>
        </w:rPr>
        <w:t xml:space="preserve"> In vara 2006 ma intrigase</w:t>
      </w:r>
      <w:r w:rsidR="00EC365D">
        <w:rPr>
          <w:color w:val="7F7F7F" w:themeColor="text1" w:themeTint="80"/>
          <w:sz w:val="20"/>
        </w:rPr>
        <w:t xml:space="preserve"> deja, ca e vorba de un site mare si înalt, si avea câte 2 antene Kathrein din alea « albe si mari » pe fiecare sector, cu un tilt negativ foarte sesizabil. In iarna 2007 era înca la fel</w:t>
      </w:r>
      <w:r w:rsidR="00690B90">
        <w:rPr>
          <w:color w:val="7F7F7F" w:themeColor="text1" w:themeTint="80"/>
          <w:sz w:val="20"/>
        </w:rPr>
        <w:t>, CDMA only ; 3G-ul a venit deci probabil prin 2008</w:t>
      </w:r>
      <w:r w:rsidR="000B1636">
        <w:rPr>
          <w:color w:val="7F7F7F" w:themeColor="text1" w:themeTint="80"/>
          <w:sz w:val="20"/>
        </w:rPr>
        <w:t xml:space="preserve">, luând </w:t>
      </w:r>
      <w:r w:rsidR="000B1636" w:rsidRPr="000B1636">
        <w:rPr>
          <w:i/>
          <w:color w:val="7F7F7F" w:themeColor="text1" w:themeTint="80"/>
          <w:sz w:val="20"/>
        </w:rPr>
        <w:t>comme d’habitude</w:t>
      </w:r>
      <w:r w:rsidR="000B1636">
        <w:rPr>
          <w:color w:val="7F7F7F" w:themeColor="text1" w:themeTint="80"/>
          <w:sz w:val="20"/>
        </w:rPr>
        <w:t xml:space="preserve"> locul uneia dintre antenele CDMA pe fiecare sector</w:t>
      </w:r>
      <w:r w:rsidR="00690B90">
        <w:rPr>
          <w:color w:val="7F7F7F" w:themeColor="text1" w:themeTint="80"/>
          <w:sz w:val="20"/>
        </w:rPr>
        <w:t>. Sunt vizibile si antenele GPS Lucent si ZTE.</w:t>
      </w:r>
    </w:p>
    <w:p w:rsidR="00690B90" w:rsidRPr="000B1636" w:rsidRDefault="00690B90" w:rsidP="00EC365D">
      <w:pPr>
        <w:pStyle w:val="Default"/>
        <w:ind w:left="284"/>
        <w:jc w:val="both"/>
        <w:rPr>
          <w:iCs/>
          <w:color w:val="7F7F7F" w:themeColor="text1" w:themeTint="80"/>
          <w:sz w:val="36"/>
          <w:szCs w:val="20"/>
        </w:rPr>
      </w:pPr>
    </w:p>
    <w:p w:rsidR="00174B58" w:rsidRPr="00EC365D" w:rsidRDefault="00690B90" w:rsidP="001533FF">
      <w:pPr>
        <w:pStyle w:val="Default"/>
        <w:ind w:left="284"/>
        <w:jc w:val="both"/>
        <w:rPr>
          <w:shadow/>
          <w:noProof/>
          <w:color w:val="7030A0"/>
          <w:sz w:val="22"/>
          <w:szCs w:val="22"/>
          <w:lang w:eastAsia="fr-FR"/>
        </w:rPr>
      </w:pPr>
      <w:r>
        <w:rPr>
          <w:iCs/>
          <w:color w:val="7F7F7F" w:themeColor="text1" w:themeTint="80"/>
          <w:sz w:val="20"/>
          <w:szCs w:val="20"/>
        </w:rPr>
        <w:t>Initial credeam ca e si ceva Romtelecom CDMA pe acolo (pe o vec</w:t>
      </w:r>
      <w:r w:rsidR="001533FF">
        <w:rPr>
          <w:iCs/>
          <w:color w:val="7F7F7F" w:themeColor="text1" w:themeTint="80"/>
          <w:sz w:val="20"/>
          <w:szCs w:val="20"/>
        </w:rPr>
        <w:t>h</w:t>
      </w:r>
      <w:r>
        <w:rPr>
          <w:iCs/>
          <w:color w:val="7F7F7F" w:themeColor="text1" w:themeTint="80"/>
          <w:sz w:val="20"/>
          <w:szCs w:val="20"/>
        </w:rPr>
        <w:t>itura</w:t>
      </w:r>
      <w:r w:rsidR="001533FF">
        <w:rPr>
          <w:iCs/>
          <w:color w:val="7F7F7F" w:themeColor="text1" w:themeTint="80"/>
          <w:sz w:val="20"/>
          <w:szCs w:val="20"/>
        </w:rPr>
        <w:t xml:space="preserve"> de tija metalica pe care mai sunt prinse si alte antene YAGI… ai impresia ca o sa le ia vântul), dar am descoperit ca în pozele din decembrie 2007 acele antene omni (albe si finute, </w:t>
      </w:r>
      <w:r w:rsidR="000B1636">
        <w:rPr>
          <w:iCs/>
          <w:color w:val="7F7F7F" w:themeColor="text1" w:themeTint="80"/>
          <w:sz w:val="20"/>
          <w:szCs w:val="20"/>
        </w:rPr>
        <w:t>la care daca te uiti mai atent vezi ca nu seamana cu ceea ce instaleaza Romtelecom-ul</w:t>
      </w:r>
      <w:r w:rsidR="001533FF">
        <w:rPr>
          <w:iCs/>
          <w:color w:val="7F7F7F" w:themeColor="text1" w:themeTint="80"/>
          <w:sz w:val="20"/>
          <w:szCs w:val="20"/>
        </w:rPr>
        <w:t>) era</w:t>
      </w:r>
      <w:r w:rsidR="000B1636">
        <w:rPr>
          <w:iCs/>
          <w:color w:val="7F7F7F" w:themeColor="text1" w:themeTint="80"/>
          <w:sz w:val="20"/>
          <w:szCs w:val="20"/>
        </w:rPr>
        <w:t>u</w:t>
      </w:r>
      <w:r w:rsidR="001533FF">
        <w:rPr>
          <w:iCs/>
          <w:color w:val="7F7F7F" w:themeColor="text1" w:themeTint="80"/>
          <w:sz w:val="20"/>
          <w:szCs w:val="20"/>
        </w:rPr>
        <w:t xml:space="preserve"> deja prezente, deci ideea ca ar fi ceva RTC este </w:t>
      </w:r>
      <w:r w:rsidR="000B1636">
        <w:rPr>
          <w:iCs/>
          <w:color w:val="7F7F7F" w:themeColor="text1" w:themeTint="80"/>
          <w:sz w:val="20"/>
          <w:szCs w:val="20"/>
        </w:rPr>
        <w:t xml:space="preserve">clar </w:t>
      </w:r>
      <w:r w:rsidR="001533FF">
        <w:rPr>
          <w:iCs/>
          <w:color w:val="7F7F7F" w:themeColor="text1" w:themeTint="80"/>
          <w:sz w:val="20"/>
          <w:szCs w:val="20"/>
        </w:rPr>
        <w:t>indepartata.</w:t>
      </w:r>
      <w:r w:rsidR="001533FF" w:rsidRPr="00EC365D">
        <w:rPr>
          <w:shadow/>
          <w:noProof/>
          <w:color w:val="7030A0"/>
          <w:lang w:eastAsia="fr-FR"/>
        </w:rPr>
        <w:t xml:space="preserve"> </w:t>
      </w:r>
    </w:p>
    <w:sectPr w:rsidR="00174B58" w:rsidRPr="00EC365D" w:rsidSect="00EC365D">
      <w:headerReference w:type="default" r:id="rId11"/>
      <w:pgSz w:w="11906" w:h="16838"/>
      <w:pgMar w:top="284" w:right="425" w:bottom="0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6AF" w:rsidRDefault="003526AF" w:rsidP="00C46662">
      <w:pPr>
        <w:spacing w:line="240" w:lineRule="auto"/>
      </w:pPr>
      <w:r>
        <w:separator/>
      </w:r>
    </w:p>
  </w:endnote>
  <w:endnote w:type="continuationSeparator" w:id="0">
    <w:p w:rsidR="003526AF" w:rsidRDefault="003526AF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6AF" w:rsidRDefault="003526AF" w:rsidP="00C46662">
      <w:pPr>
        <w:spacing w:line="240" w:lineRule="auto"/>
      </w:pPr>
      <w:r>
        <w:separator/>
      </w:r>
    </w:p>
  </w:footnote>
  <w:footnote w:type="continuationSeparator" w:id="0">
    <w:p w:rsidR="003526AF" w:rsidRDefault="003526AF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27C3F"/>
    <w:rsid w:val="00060C8D"/>
    <w:rsid w:val="00075D5B"/>
    <w:rsid w:val="000B1636"/>
    <w:rsid w:val="000C1360"/>
    <w:rsid w:val="000D6F12"/>
    <w:rsid w:val="000F101E"/>
    <w:rsid w:val="00103B5F"/>
    <w:rsid w:val="0011389C"/>
    <w:rsid w:val="00142971"/>
    <w:rsid w:val="00152447"/>
    <w:rsid w:val="001533FF"/>
    <w:rsid w:val="001738A8"/>
    <w:rsid w:val="00174B58"/>
    <w:rsid w:val="0024693D"/>
    <w:rsid w:val="002546DB"/>
    <w:rsid w:val="00275090"/>
    <w:rsid w:val="002A113E"/>
    <w:rsid w:val="002A6730"/>
    <w:rsid w:val="002C6033"/>
    <w:rsid w:val="002D68D6"/>
    <w:rsid w:val="00303796"/>
    <w:rsid w:val="003526AF"/>
    <w:rsid w:val="003535E1"/>
    <w:rsid w:val="003847B5"/>
    <w:rsid w:val="00385530"/>
    <w:rsid w:val="003A5CD7"/>
    <w:rsid w:val="003F752A"/>
    <w:rsid w:val="004144E3"/>
    <w:rsid w:val="004154CB"/>
    <w:rsid w:val="0043012A"/>
    <w:rsid w:val="004310D5"/>
    <w:rsid w:val="00442D63"/>
    <w:rsid w:val="00453B9D"/>
    <w:rsid w:val="004B1A8D"/>
    <w:rsid w:val="004E16E5"/>
    <w:rsid w:val="004F4CB6"/>
    <w:rsid w:val="00504221"/>
    <w:rsid w:val="0052205E"/>
    <w:rsid w:val="0053678C"/>
    <w:rsid w:val="0053741D"/>
    <w:rsid w:val="0056230F"/>
    <w:rsid w:val="00575390"/>
    <w:rsid w:val="0058598B"/>
    <w:rsid w:val="005E6A58"/>
    <w:rsid w:val="006471CD"/>
    <w:rsid w:val="00683070"/>
    <w:rsid w:val="0068616F"/>
    <w:rsid w:val="00690B90"/>
    <w:rsid w:val="006B4C25"/>
    <w:rsid w:val="006D5D38"/>
    <w:rsid w:val="006F19BD"/>
    <w:rsid w:val="00773A1B"/>
    <w:rsid w:val="007B002B"/>
    <w:rsid w:val="007B3B43"/>
    <w:rsid w:val="007E12BA"/>
    <w:rsid w:val="0081241A"/>
    <w:rsid w:val="008703A5"/>
    <w:rsid w:val="00883D8E"/>
    <w:rsid w:val="008A3B7F"/>
    <w:rsid w:val="008B1BE8"/>
    <w:rsid w:val="008B29B2"/>
    <w:rsid w:val="00944E3F"/>
    <w:rsid w:val="009932F0"/>
    <w:rsid w:val="009A56C6"/>
    <w:rsid w:val="009E09F4"/>
    <w:rsid w:val="00A04142"/>
    <w:rsid w:val="00A270E1"/>
    <w:rsid w:val="00A45F8A"/>
    <w:rsid w:val="00A778C6"/>
    <w:rsid w:val="00A90417"/>
    <w:rsid w:val="00A946E4"/>
    <w:rsid w:val="00AB1671"/>
    <w:rsid w:val="00AB4756"/>
    <w:rsid w:val="00AF4033"/>
    <w:rsid w:val="00B00B85"/>
    <w:rsid w:val="00B14592"/>
    <w:rsid w:val="00B20999"/>
    <w:rsid w:val="00B80438"/>
    <w:rsid w:val="00BB07C7"/>
    <w:rsid w:val="00BB1CBE"/>
    <w:rsid w:val="00BD2997"/>
    <w:rsid w:val="00BE6717"/>
    <w:rsid w:val="00C421DC"/>
    <w:rsid w:val="00C46662"/>
    <w:rsid w:val="00C87F18"/>
    <w:rsid w:val="00C95BFF"/>
    <w:rsid w:val="00CB0E9B"/>
    <w:rsid w:val="00CD5113"/>
    <w:rsid w:val="00CE6037"/>
    <w:rsid w:val="00D0022D"/>
    <w:rsid w:val="00D2347C"/>
    <w:rsid w:val="00D44814"/>
    <w:rsid w:val="00D63C11"/>
    <w:rsid w:val="00D7382B"/>
    <w:rsid w:val="00D859B8"/>
    <w:rsid w:val="00DC6F50"/>
    <w:rsid w:val="00DD7785"/>
    <w:rsid w:val="00E15E34"/>
    <w:rsid w:val="00E53805"/>
    <w:rsid w:val="00E5516E"/>
    <w:rsid w:val="00E61943"/>
    <w:rsid w:val="00E97672"/>
    <w:rsid w:val="00EC365D"/>
    <w:rsid w:val="00EE4849"/>
    <w:rsid w:val="00F15A98"/>
    <w:rsid w:val="00F16760"/>
    <w:rsid w:val="00F54AF8"/>
    <w:rsid w:val="00F67EE4"/>
    <w:rsid w:val="00F806F3"/>
    <w:rsid w:val="00F84D6F"/>
    <w:rsid w:val="00F953B5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  <w:style w:type="paragraph" w:customStyle="1" w:styleId="Default">
    <w:name w:val="Default"/>
    <w:rsid w:val="00AB475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690B90"/>
    <w:pPr>
      <w:spacing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0B9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38</cp:revision>
  <dcterms:created xsi:type="dcterms:W3CDTF">2010-02-25T19:52:00Z</dcterms:created>
  <dcterms:modified xsi:type="dcterms:W3CDTF">2010-03-12T15:57:00Z</dcterms:modified>
</cp:coreProperties>
</file>